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460" w:lineRule="exact"/>
        <w:jc w:val="center"/>
        <w:textAlignment w:val="auto"/>
        <w:rPr>
          <w:rFonts w:hint="eastAsia"/>
          <w:sz w:val="30"/>
          <w:szCs w:val="30"/>
          <w:lang w:eastAsia="zh-CN"/>
        </w:rPr>
      </w:pPr>
      <w:r>
        <w:rPr>
          <w:rFonts w:hint="eastAsia"/>
          <w:sz w:val="30"/>
          <w:szCs w:val="30"/>
          <w:lang w:eastAsia="zh-CN"/>
        </w:rPr>
        <w:t>国网河南省焦作修武县供电公司生产综合用房项目施工</w:t>
      </w:r>
    </w:p>
    <w:p>
      <w:pPr>
        <w:pStyle w:val="2"/>
        <w:keepNext/>
        <w:keepLines/>
        <w:pageBreakBefore w:val="0"/>
        <w:widowControl w:val="0"/>
        <w:kinsoku/>
        <w:wordWrap/>
        <w:overflowPunct/>
        <w:topLinePunct w:val="0"/>
        <w:autoSpaceDE/>
        <w:autoSpaceDN/>
        <w:bidi w:val="0"/>
        <w:adjustRightInd/>
        <w:snapToGrid/>
        <w:spacing w:line="460" w:lineRule="exact"/>
        <w:jc w:val="center"/>
        <w:textAlignment w:val="auto"/>
        <w:rPr>
          <w:rFonts w:hint="eastAsia"/>
          <w:sz w:val="30"/>
          <w:szCs w:val="30"/>
          <w:lang w:val="en-US" w:eastAsia="zh-CN"/>
        </w:rPr>
      </w:pPr>
      <w:r>
        <w:rPr>
          <w:rFonts w:hint="eastAsia"/>
          <w:sz w:val="30"/>
          <w:szCs w:val="30"/>
          <w:lang w:eastAsia="zh-CN"/>
        </w:rPr>
        <w:t>监理和工程造价咨询</w:t>
      </w:r>
      <w:r>
        <w:rPr>
          <w:rFonts w:hint="eastAsia"/>
          <w:sz w:val="30"/>
          <w:szCs w:val="30"/>
          <w:lang w:val="en-US" w:eastAsia="zh-CN"/>
        </w:rPr>
        <w:t>中标候选人公示附件</w:t>
      </w:r>
    </w:p>
    <w:p>
      <w:pPr>
        <w:numPr>
          <w:ilvl w:val="0"/>
          <w:numId w:val="1"/>
        </w:numPr>
        <w:rPr>
          <w:rFonts w:hint="eastAsia"/>
          <w:lang w:val="en-US" w:eastAsia="zh-CN"/>
        </w:rPr>
      </w:pPr>
      <w:r>
        <w:rPr>
          <w:rFonts w:hint="eastAsia"/>
          <w:lang w:val="en-US" w:eastAsia="zh-CN"/>
        </w:rPr>
        <w:t>废标情况：昂扬建设管理有限公司投标报价未按照招标文件投标人须知前附表第3.2.4条格式报价，根据招标文件要求，否决其投标。</w:t>
      </w:r>
    </w:p>
    <w:p>
      <w:pPr>
        <w:numPr>
          <w:ilvl w:val="0"/>
          <w:numId w:val="1"/>
        </w:numPr>
        <w:rPr>
          <w:rFonts w:hint="default"/>
          <w:lang w:val="en-US" w:eastAsia="zh-CN"/>
        </w:rPr>
      </w:pPr>
      <w:r>
        <w:rPr>
          <w:rFonts w:hint="eastAsia"/>
          <w:lang w:val="en-US" w:eastAsia="zh-CN"/>
        </w:rPr>
        <w:t>所有投标人技术标评分情况：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49"/>
        <w:gridCol w:w="3193"/>
        <w:gridCol w:w="729"/>
        <w:gridCol w:w="707"/>
        <w:gridCol w:w="707"/>
        <w:gridCol w:w="750"/>
        <w:gridCol w:w="72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3193"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单位名称</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评委A</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评委B</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评委C</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评委D</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评委E</w:t>
            </w:r>
          </w:p>
        </w:tc>
        <w:tc>
          <w:tcPr>
            <w:tcW w:w="96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技术标得分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河南正坤建设工程咨询有限公司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2</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达信建设发展有限公司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39</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27</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河南省光大建设管理有限公司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中鼎景宏工程管理有限公司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5</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河南华冠工程咨询有限公司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24</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6</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恒之宇工程集团有限公司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24</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7</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河南万安工程咨询有限公司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33</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8</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河南丰泽工程咨询有限公司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4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9</w:t>
            </w:r>
          </w:p>
        </w:tc>
        <w:tc>
          <w:tcPr>
            <w:tcW w:w="3193" w:type="dxa"/>
            <w:vAlign w:val="center"/>
          </w:tcPr>
          <w:p>
            <w:pPr>
              <w:numPr>
                <w:numId w:val="0"/>
              </w:numPr>
              <w:jc w:val="center"/>
              <w:rPr>
                <w:rFonts w:hint="default"/>
                <w:sz w:val="18"/>
                <w:szCs w:val="18"/>
                <w:vertAlign w:val="baseline"/>
                <w:lang w:val="en-US" w:eastAsia="zh-CN"/>
              </w:rPr>
            </w:pPr>
            <w:r>
              <w:rPr>
                <w:rFonts w:hint="default"/>
                <w:sz w:val="18"/>
                <w:szCs w:val="18"/>
                <w:vertAlign w:val="baseline"/>
                <w:lang w:val="en-US" w:eastAsia="zh-CN"/>
              </w:rPr>
              <w:t>河南海纳建设管理有限公司</w:t>
            </w:r>
          </w:p>
        </w:tc>
        <w:tc>
          <w:tcPr>
            <w:tcW w:w="729"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36</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707"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24</w:t>
            </w:r>
          </w:p>
        </w:tc>
        <w:tc>
          <w:tcPr>
            <w:tcW w:w="750"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28" w:type="dxa"/>
            <w:vAlign w:val="center"/>
          </w:tcPr>
          <w:p>
            <w:pPr>
              <w:numPr>
                <w:numId w:val="0"/>
              </w:numPr>
              <w:jc w:val="center"/>
              <w:rPr>
                <w:rFonts w:hint="default"/>
                <w:sz w:val="18"/>
                <w:szCs w:val="18"/>
                <w:vertAlign w:val="baseline"/>
                <w:lang w:val="en-US" w:eastAsia="zh-CN"/>
              </w:rPr>
            </w:pPr>
            <w:r>
              <w:rPr>
                <w:rFonts w:hint="eastAsia"/>
                <w:sz w:val="18"/>
                <w:szCs w:val="18"/>
                <w:vertAlign w:val="baseline"/>
                <w:lang w:val="en-US" w:eastAsia="zh-CN"/>
              </w:rPr>
              <w:t>45</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36</w:t>
            </w:r>
          </w:p>
        </w:tc>
      </w:tr>
    </w:tbl>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所有投标人综合标评分情况：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3193"/>
        <w:gridCol w:w="739"/>
        <w:gridCol w:w="718"/>
        <w:gridCol w:w="707"/>
        <w:gridCol w:w="750"/>
        <w:gridCol w:w="70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3193"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单位名称</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评委A</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评委B</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评委C</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评委D</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评委E</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综合标得分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河南正坤建设工程咨询有限公司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32.5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32.5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32.6</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34</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34</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达信建设发展有限公司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30.6</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河南省光大建设管理有限公司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31</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4</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中鼎景宏工程管理有限公司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28.3</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29.3</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28</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5</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河南华冠工程咨询有限公司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18.5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19.5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19.5</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19</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18</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6</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恒之宇工程集团有限公司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32.5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33.5</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7</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河南万安工程咨询有限公司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30.5</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8</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河南丰泽工程咨询有限公司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29.3</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9</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河南海纳建设管理有限公司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33.5</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33.5</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34.8</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34</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32</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33.56</w:t>
            </w:r>
          </w:p>
        </w:tc>
      </w:tr>
    </w:tbl>
    <w:p/>
    <w:p>
      <w:pPr>
        <w:numPr>
          <w:ilvl w:val="0"/>
          <w:numId w:val="1"/>
        </w:numPr>
        <w:rPr>
          <w:rFonts w:hint="default"/>
          <w:lang w:val="en-US" w:eastAsia="zh-CN"/>
        </w:rPr>
      </w:pPr>
      <w:r>
        <w:rPr>
          <w:rFonts w:hint="eastAsia"/>
          <w:lang w:val="en-US" w:eastAsia="zh-CN"/>
        </w:rPr>
        <w:t>所有投标人经济标评分情况：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3193"/>
        <w:gridCol w:w="739"/>
        <w:gridCol w:w="718"/>
        <w:gridCol w:w="707"/>
        <w:gridCol w:w="750"/>
        <w:gridCol w:w="70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3193"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单位名称</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评委A</w:t>
            </w:r>
          </w:p>
        </w:tc>
        <w:tc>
          <w:tcPr>
            <w:tcW w:w="718"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评委B</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评委C</w:t>
            </w:r>
          </w:p>
        </w:tc>
        <w:tc>
          <w:tcPr>
            <w:tcW w:w="7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评委D</w:t>
            </w:r>
          </w:p>
        </w:tc>
        <w:tc>
          <w:tcPr>
            <w:tcW w:w="707"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评委E</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综合标得分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河南正坤建设工程咨询有限公司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17.06</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达信建设发展有限公司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14.93</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14.93</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14.93</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14.93</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14.93</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河南省光大建设管理有限公司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14.65</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14.65</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14.65</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14.65</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14.65</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4</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中鼎景宏工程管理有限公司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14.33</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14.33</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14.33</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14.33</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14.33</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5</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河南华冠工程咨询有限公司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14.05</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14.05</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14.05</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14.05</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14.05</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6</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恒之宇工程集团有限公司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15.23</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15.23</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15.23</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15.23</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15.23</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7</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河南万安工程咨询有限公司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17.06</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8</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河南丰泽工程咨询有限公司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15.92</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15.92</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15.92</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15.92</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15.92</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9</w:t>
            </w:r>
          </w:p>
        </w:tc>
        <w:tc>
          <w:tcPr>
            <w:tcW w:w="3193" w:type="dxa"/>
            <w:vAlign w:val="center"/>
          </w:tcPr>
          <w:p>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河南海纳建设管理有限公司</w:t>
            </w:r>
          </w:p>
        </w:tc>
        <w:tc>
          <w:tcPr>
            <w:tcW w:w="739"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20</w:t>
            </w:r>
          </w:p>
        </w:tc>
        <w:tc>
          <w:tcPr>
            <w:tcW w:w="718"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20</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20</w:t>
            </w:r>
          </w:p>
        </w:tc>
        <w:tc>
          <w:tcPr>
            <w:tcW w:w="7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20</w:t>
            </w:r>
          </w:p>
        </w:tc>
        <w:tc>
          <w:tcPr>
            <w:tcW w:w="707"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20</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20</w:t>
            </w:r>
          </w:p>
        </w:tc>
      </w:tr>
    </w:tbl>
    <w:p/>
    <w:p>
      <w:pPr>
        <w:numPr>
          <w:ilvl w:val="0"/>
          <w:numId w:val="1"/>
        </w:numPr>
        <w:rPr>
          <w:rFonts w:hint="default"/>
          <w:lang w:val="en-US" w:eastAsia="zh-CN"/>
        </w:rPr>
      </w:pPr>
      <w:r>
        <w:rPr>
          <w:rFonts w:hint="eastAsia"/>
          <w:lang w:val="en-US" w:eastAsia="zh-CN"/>
        </w:rPr>
        <w:t>所有投标人经济标评分情况：</w:t>
      </w:r>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50"/>
        <w:gridCol w:w="206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315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单位名称</w:t>
            </w:r>
          </w:p>
        </w:tc>
        <w:tc>
          <w:tcPr>
            <w:tcW w:w="206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最终得分</w:t>
            </w:r>
          </w:p>
        </w:tc>
        <w:tc>
          <w:tcPr>
            <w:tcW w:w="960"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1</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河南正坤建设工程咨询有限公司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89.78</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河南海纳建设管理有限公司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89.56</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恒之宇工程集团有限公司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80.73</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4</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达信建设发展有限公司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79.85</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5</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河南省光大建设管理有限公司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76.35</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6</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河南万安工程咨询有限公司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73.56</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7</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河南丰泽工程咨询有限公司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70.98</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8</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中鼎景宏工程管理有限公司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68.95</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9</w:t>
            </w:r>
          </w:p>
        </w:tc>
        <w:tc>
          <w:tcPr>
            <w:tcW w:w="315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default"/>
                <w:sz w:val="18"/>
                <w:szCs w:val="18"/>
                <w:vertAlign w:val="baseline"/>
                <w:lang w:val="en-US" w:eastAsia="zh-CN"/>
              </w:rPr>
              <w:t>河南华冠工程咨询有限公司</w:t>
            </w:r>
          </w:p>
        </w:tc>
        <w:tc>
          <w:tcPr>
            <w:tcW w:w="2065"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59.95</w:t>
            </w:r>
          </w:p>
        </w:tc>
        <w:tc>
          <w:tcPr>
            <w:tcW w:w="960" w:type="dxa"/>
            <w:vAlign w:val="center"/>
          </w:tcPr>
          <w:p>
            <w:pPr>
              <w:numPr>
                <w:ilvl w:val="0"/>
                <w:numId w:val="0"/>
              </w:numPr>
              <w:ind w:left="0" w:leftChars="0" w:firstLine="0" w:firstLineChars="0"/>
              <w:jc w:val="center"/>
              <w:rPr>
                <w:rFonts w:hint="default" w:asciiTheme="minorHAnsi" w:hAnsiTheme="minorHAnsi" w:eastAsiaTheme="minorEastAsia" w:cstheme="minorBidi"/>
                <w:kern w:val="2"/>
                <w:sz w:val="18"/>
                <w:szCs w:val="18"/>
                <w:vertAlign w:val="baseline"/>
                <w:lang w:val="en-US" w:eastAsia="zh-CN" w:bidi="ar-SA"/>
              </w:rPr>
            </w:pPr>
            <w:r>
              <w:rPr>
                <w:rFonts w:hint="eastAsia" w:cstheme="minorBidi"/>
                <w:kern w:val="2"/>
                <w:sz w:val="18"/>
                <w:szCs w:val="18"/>
                <w:vertAlign w:val="baseline"/>
                <w:lang w:val="en-US" w:eastAsia="zh-CN" w:bidi="ar-SA"/>
              </w:rPr>
              <w:t>9</w:t>
            </w: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lang w:eastAsia="zh-CN"/>
        </w:rPr>
        <w:t>国网河南省电力公司修武县供电公司</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中金招标有限责任公司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sz w:val="21"/>
          <w:szCs w:val="21"/>
        </w:rPr>
      </w:pPr>
      <w:r>
        <w:rPr>
          <w:rFonts w:hint="eastAsia" w:ascii="宋体" w:hAnsi="宋体" w:eastAsia="宋体" w:cs="宋体"/>
          <w:sz w:val="21"/>
          <w:szCs w:val="21"/>
        </w:rPr>
        <w:t>2022年12月</w:t>
      </w:r>
      <w:r>
        <w:rPr>
          <w:rFonts w:hint="eastAsia" w:ascii="宋体" w:hAnsi="宋体" w:eastAsia="宋体" w:cs="宋体"/>
          <w:sz w:val="21"/>
          <w:szCs w:val="21"/>
          <w:lang w:val="en-US" w:eastAsia="zh-CN"/>
        </w:rPr>
        <w:t>27</w:t>
      </w:r>
      <w:r>
        <w:rPr>
          <w:rFonts w:hint="eastAsia" w:ascii="宋体" w:hAnsi="宋体" w:eastAsia="宋体" w:cs="宋体"/>
          <w:sz w:val="21"/>
          <w:szCs w:val="21"/>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Courier New"/>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072AF"/>
    <w:multiLevelType w:val="singleLevel"/>
    <w:tmpl w:val="0FE072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YTQ1YmE1OWVmZmMwZmIwOGFlOGFkNjYzMDUxMGMifQ=="/>
  </w:docVars>
  <w:rsids>
    <w:rsidRoot w:val="7BF40022"/>
    <w:rsid w:val="15F000A5"/>
    <w:rsid w:val="2E7D3460"/>
    <w:rsid w:val="7BF40022"/>
    <w:rsid w:val="7E837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1326</Characters>
  <Lines>0</Lines>
  <Paragraphs>0</Paragraphs>
  <TotalTime>0</TotalTime>
  <ScaleCrop>false</ScaleCrop>
  <LinksUpToDate>false</LinksUpToDate>
  <CharactersWithSpaces>1326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2022-12-27T08:48:00Z</dcterms:created>
  <dc:creator>GJP</dc:creator>
  <cp:lastModifiedBy>GJP</cp:lastModifiedBy>
  <dcterms:modified xsi:type="dcterms:W3CDTF">2022-12-27T09:20:45Z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B5F48561E5AF4081A351FC1861D00D7B</vt:lpwstr>
  </property>
</Properties>
</file>